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CD0676" w:rsidRPr="00CD0676" w14:paraId="59D2B00F" w14:textId="77777777" w:rsidTr="00CD067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B5BC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CD067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CD0676" w:rsidRPr="00CD0676" w14:paraId="0EBD5809" w14:textId="77777777" w:rsidTr="00CD067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90339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10E6F8D6" w14:textId="77777777" w:rsidR="00CD0676" w:rsidRPr="00CD0676" w:rsidRDefault="00CD0676" w:rsidP="00CD0676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258"/>
        <w:gridCol w:w="1299"/>
        <w:gridCol w:w="1868"/>
        <w:gridCol w:w="1299"/>
        <w:gridCol w:w="1826"/>
      </w:tblGrid>
      <w:tr w:rsidR="00CD0676" w:rsidRPr="00CD0676" w14:paraId="79008AB7" w14:textId="77777777" w:rsidTr="00CD0676">
        <w:tc>
          <w:tcPr>
            <w:tcW w:w="0" w:type="auto"/>
            <w:shd w:val="clear" w:color="auto" w:fill="FFFFFF"/>
            <w:vAlign w:val="center"/>
            <w:hideMark/>
          </w:tcPr>
          <w:p w14:paraId="07E4F0A1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FFD84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DB786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67237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110/03/05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855FC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7929F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17:28:31</w:t>
            </w:r>
          </w:p>
        </w:tc>
      </w:tr>
      <w:tr w:rsidR="00CD0676" w:rsidRPr="00CD0676" w14:paraId="1D606902" w14:textId="77777777" w:rsidTr="00CD0676">
        <w:tc>
          <w:tcPr>
            <w:tcW w:w="0" w:type="auto"/>
            <w:shd w:val="clear" w:color="auto" w:fill="FFFFFF"/>
            <w:vAlign w:val="center"/>
            <w:hideMark/>
          </w:tcPr>
          <w:p w14:paraId="24D68E16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5A25B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25806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7A549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CC9D1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75122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CD0676" w:rsidRPr="00CD0676" w14:paraId="5D3CF21D" w14:textId="77777777" w:rsidTr="00CD0676">
        <w:tc>
          <w:tcPr>
            <w:tcW w:w="0" w:type="auto"/>
            <w:shd w:val="clear" w:color="auto" w:fill="FFFFFF"/>
            <w:vAlign w:val="center"/>
            <w:hideMark/>
          </w:tcPr>
          <w:p w14:paraId="16A93B89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55DA705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 公告董事會通過本公司</w:t>
            </w:r>
            <w:proofErr w:type="gramStart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年度個體財務報告</w:t>
            </w:r>
          </w:p>
          <w:p w14:paraId="24DD6A1F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及合併財務報告(查核數)</w:t>
            </w:r>
          </w:p>
        </w:tc>
      </w:tr>
      <w:tr w:rsidR="00CD0676" w:rsidRPr="00CD0676" w14:paraId="456CCCC9" w14:textId="77777777" w:rsidTr="00CD0676">
        <w:tc>
          <w:tcPr>
            <w:tcW w:w="0" w:type="auto"/>
            <w:shd w:val="clear" w:color="auto" w:fill="FFFFFF"/>
            <w:vAlign w:val="center"/>
            <w:hideMark/>
          </w:tcPr>
          <w:p w14:paraId="06212DFC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DE228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9E88E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D2B6920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110/03/05 </w:t>
            </w:r>
          </w:p>
        </w:tc>
      </w:tr>
      <w:tr w:rsidR="00CD0676" w:rsidRPr="00CD0676" w14:paraId="421E88B3" w14:textId="77777777" w:rsidTr="00CD0676">
        <w:tc>
          <w:tcPr>
            <w:tcW w:w="0" w:type="auto"/>
            <w:shd w:val="clear" w:color="auto" w:fill="FFFFFF"/>
            <w:vAlign w:val="center"/>
            <w:hideMark/>
          </w:tcPr>
          <w:p w14:paraId="79F924E4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D067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60931EA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1.事實發生日:110/03/05</w:t>
            </w:r>
          </w:p>
          <w:p w14:paraId="09CCDE37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14:paraId="13758F4B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14:paraId="2006E346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14:paraId="4349C2A8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5.發生緣由:本公司110年03月05日第十二屆第十三次董事會會議通過</w:t>
            </w:r>
          </w:p>
          <w:p w14:paraId="7FBD72C8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6.因應措施:無</w:t>
            </w:r>
          </w:p>
          <w:p w14:paraId="21E95500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7.其他應敘明事項:</w:t>
            </w:r>
          </w:p>
          <w:p w14:paraId="0F6E9BAC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(1)承認</w:t>
            </w:r>
            <w:proofErr w:type="gramStart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年度個體財務報表，說明如下：</w:t>
            </w:r>
          </w:p>
          <w:p w14:paraId="2156D194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營業收入淨額：NTD$ 3,173,506仟元</w:t>
            </w:r>
          </w:p>
          <w:p w14:paraId="1AB2E82B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營業淨利：    NTD$   275,462仟元</w:t>
            </w:r>
          </w:p>
          <w:p w14:paraId="5C818572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稅前淨利：    NTD$   375,121仟元</w:t>
            </w:r>
          </w:p>
          <w:p w14:paraId="6FE95FB8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稅後淨利：    NTD$   317,294仟元</w:t>
            </w:r>
          </w:p>
          <w:p w14:paraId="670A18F7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基本每股盈餘：NTD$        8.72元</w:t>
            </w:r>
          </w:p>
          <w:p w14:paraId="096CB724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(2)承認</w:t>
            </w:r>
            <w:proofErr w:type="gramStart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年度合併財務報表，說明如下：</w:t>
            </w:r>
          </w:p>
          <w:p w14:paraId="2ABA99C6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合併營業收入淨額：NTD$  3,431,968仟元</w:t>
            </w:r>
          </w:p>
          <w:p w14:paraId="53AA1586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合併營業淨利：    NTD$    374,026仟元</w:t>
            </w:r>
          </w:p>
          <w:p w14:paraId="3F08924B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合併稅前淨利：    NTD$    391,805仟元</w:t>
            </w:r>
          </w:p>
          <w:p w14:paraId="46E10E34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合併總純益：      NTD$    317,294仟元</w:t>
            </w:r>
          </w:p>
          <w:p w14:paraId="42EABB41" w14:textId="77777777" w:rsidR="00CD0676" w:rsidRPr="00CD0676" w:rsidRDefault="00CD0676" w:rsidP="00CD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D0676">
              <w:rPr>
                <w:rFonts w:ascii="細明體" w:eastAsia="細明體" w:hAnsi="細明體" w:cs="細明體"/>
                <w:kern w:val="0"/>
                <w:szCs w:val="24"/>
              </w:rPr>
              <w:t>基本每股盈餘：    NTD$         8.72元</w:t>
            </w:r>
          </w:p>
        </w:tc>
      </w:tr>
    </w:tbl>
    <w:p w14:paraId="286F1DEF" w14:textId="77777777" w:rsidR="00CD0676" w:rsidRPr="00CD0676" w:rsidRDefault="00CD0676" w:rsidP="00CD0676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CD0676" w:rsidRPr="00CD0676" w14:paraId="1E5DE1F3" w14:textId="77777777" w:rsidTr="00CD067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C2AAC" w14:textId="77777777" w:rsidR="00CD0676" w:rsidRPr="00CD0676" w:rsidRDefault="00CD0676" w:rsidP="00CD067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CD0676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CD0676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CD0676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CD0676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CD0676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CD0676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CD0676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040600EC" w14:textId="77777777" w:rsidR="00CD0676" w:rsidRPr="00CD0676" w:rsidRDefault="00CD0676"/>
    <w:sectPr w:rsidR="00CD0676" w:rsidRPr="00CD0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76"/>
    <w:rsid w:val="00C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1533"/>
  <w15:chartTrackingRefBased/>
  <w15:docId w15:val="{7043A539-1549-4200-826D-5A746BB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0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D067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2021-05-05T09:43:00Z</dcterms:created>
  <dcterms:modified xsi:type="dcterms:W3CDTF">2021-05-05T09:44:00Z</dcterms:modified>
</cp:coreProperties>
</file>