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759"/>
      </w:tblGrid>
      <w:tr w:rsidR="004251B9" w:rsidRPr="004251B9" w14:paraId="7261A7AC" w14:textId="77777777" w:rsidTr="004251B9">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0B2DAD65" w14:textId="77777777" w:rsidR="004251B9" w:rsidRPr="004251B9" w:rsidRDefault="004251B9" w:rsidP="004251B9">
            <w:pPr>
              <w:widowControl/>
              <w:jc w:val="center"/>
              <w:rPr>
                <w:rFonts w:ascii="Georgia" w:eastAsia="新細明體" w:hAnsi="Georgia" w:cs="新細明體"/>
                <w:b/>
                <w:bCs/>
                <w:color w:val="0000FF"/>
                <w:kern w:val="0"/>
                <w:sz w:val="23"/>
                <w:szCs w:val="23"/>
              </w:rPr>
            </w:pPr>
            <w:r w:rsidRPr="004251B9">
              <w:rPr>
                <w:rFonts w:ascii="Georgia" w:eastAsia="新細明體" w:hAnsi="Georgia" w:cs="新細明體"/>
                <w:b/>
                <w:bCs/>
                <w:color w:val="0000FF"/>
                <w:kern w:val="0"/>
                <w:sz w:val="23"/>
                <w:szCs w:val="23"/>
              </w:rPr>
              <w:t xml:space="preserve">本資料由　</w:t>
            </w:r>
            <w:r w:rsidRPr="004251B9">
              <w:rPr>
                <w:rFonts w:ascii="Georgia" w:eastAsia="新細明體" w:hAnsi="Georgia" w:cs="新細明體"/>
                <w:b/>
                <w:bCs/>
                <w:color w:val="0000FF"/>
                <w:kern w:val="0"/>
                <w:sz w:val="23"/>
                <w:szCs w:val="23"/>
              </w:rPr>
              <w:t>(</w:t>
            </w:r>
            <w:r w:rsidRPr="004251B9">
              <w:rPr>
                <w:rFonts w:ascii="Georgia" w:eastAsia="新細明體" w:hAnsi="Georgia" w:cs="新細明體"/>
                <w:b/>
                <w:bCs/>
                <w:color w:val="0000FF"/>
                <w:kern w:val="0"/>
                <w:sz w:val="23"/>
                <w:szCs w:val="23"/>
              </w:rPr>
              <w:t>上櫃公司</w:t>
            </w:r>
            <w:r w:rsidRPr="004251B9">
              <w:rPr>
                <w:rFonts w:ascii="Georgia" w:eastAsia="新細明體" w:hAnsi="Georgia" w:cs="新細明體"/>
                <w:b/>
                <w:bCs/>
                <w:color w:val="0000FF"/>
                <w:kern w:val="0"/>
                <w:sz w:val="23"/>
                <w:szCs w:val="23"/>
              </w:rPr>
              <w:t xml:space="preserve">) 1788 </w:t>
            </w:r>
            <w:proofErr w:type="gramStart"/>
            <w:r w:rsidRPr="004251B9">
              <w:rPr>
                <w:rFonts w:ascii="Georgia" w:eastAsia="新細明體" w:hAnsi="Georgia" w:cs="新細明體"/>
                <w:b/>
                <w:bCs/>
                <w:color w:val="0000FF"/>
                <w:kern w:val="0"/>
                <w:sz w:val="23"/>
                <w:szCs w:val="23"/>
              </w:rPr>
              <w:t>杏昌</w:t>
            </w:r>
            <w:proofErr w:type="gramEnd"/>
            <w:r w:rsidRPr="004251B9">
              <w:rPr>
                <w:rFonts w:ascii="Georgia" w:eastAsia="新細明體" w:hAnsi="Georgia" w:cs="新細明體"/>
                <w:b/>
                <w:bCs/>
                <w:color w:val="0000FF"/>
                <w:kern w:val="0"/>
                <w:sz w:val="23"/>
                <w:szCs w:val="23"/>
              </w:rPr>
              <w:t xml:space="preserve"> </w:t>
            </w:r>
            <w:r w:rsidRPr="004251B9">
              <w:rPr>
                <w:rFonts w:ascii="Georgia" w:eastAsia="新細明體" w:hAnsi="Georgia" w:cs="新細明體"/>
                <w:b/>
                <w:bCs/>
                <w:color w:val="0000FF"/>
                <w:kern w:val="0"/>
                <w:sz w:val="23"/>
                <w:szCs w:val="23"/>
              </w:rPr>
              <w:t xml:space="preserve">　公司提供</w:t>
            </w:r>
            <w:r w:rsidRPr="004251B9">
              <w:rPr>
                <w:rFonts w:ascii="Georgia" w:eastAsia="新細明體" w:hAnsi="Georgia" w:cs="新細明體"/>
                <w:b/>
                <w:bCs/>
                <w:color w:val="0000FF"/>
                <w:kern w:val="0"/>
                <w:sz w:val="23"/>
                <w:szCs w:val="23"/>
              </w:rPr>
              <w:t xml:space="preserve"> </w:t>
            </w:r>
          </w:p>
        </w:tc>
      </w:tr>
      <w:tr w:rsidR="004251B9" w:rsidRPr="004251B9" w14:paraId="376D77B8" w14:textId="77777777" w:rsidTr="004251B9">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276A633A" w14:textId="77777777" w:rsidR="004251B9" w:rsidRPr="004251B9" w:rsidRDefault="004251B9" w:rsidP="004251B9">
            <w:pPr>
              <w:widowControl/>
              <w:jc w:val="center"/>
              <w:rPr>
                <w:rFonts w:ascii="Georgia" w:eastAsia="新細明體" w:hAnsi="Georgia" w:cs="新細明體"/>
                <w:b/>
                <w:bCs/>
                <w:color w:val="0000FF"/>
                <w:kern w:val="0"/>
                <w:sz w:val="23"/>
                <w:szCs w:val="23"/>
              </w:rPr>
            </w:pPr>
          </w:p>
        </w:tc>
      </w:tr>
    </w:tbl>
    <w:p w14:paraId="7D96AAE7" w14:textId="77777777" w:rsidR="004251B9" w:rsidRPr="004251B9" w:rsidRDefault="004251B9" w:rsidP="004251B9">
      <w:pPr>
        <w:widowControl/>
        <w:rPr>
          <w:rFonts w:ascii="Verdana" w:eastAsia="新細明體" w:hAnsi="Verdana" w:cs="新細明體"/>
          <w:vanish/>
          <w:color w:val="000000"/>
          <w:kern w:val="0"/>
          <w:sz w:val="18"/>
          <w:szCs w:val="18"/>
        </w:rPr>
      </w:pPr>
    </w:p>
    <w:tbl>
      <w:tblPr>
        <w:tblW w:w="9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9"/>
        <w:gridCol w:w="920"/>
        <w:gridCol w:w="997"/>
        <w:gridCol w:w="1430"/>
        <w:gridCol w:w="997"/>
        <w:gridCol w:w="4121"/>
      </w:tblGrid>
      <w:tr w:rsidR="004251B9" w:rsidRPr="004251B9" w14:paraId="55D9A840" w14:textId="77777777" w:rsidTr="004251B9">
        <w:tc>
          <w:tcPr>
            <w:tcW w:w="0" w:type="auto"/>
            <w:shd w:val="clear" w:color="auto" w:fill="FFFFFF"/>
            <w:vAlign w:val="center"/>
            <w:hideMark/>
          </w:tcPr>
          <w:p w14:paraId="182750B0"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序號</w:t>
            </w:r>
          </w:p>
        </w:tc>
        <w:tc>
          <w:tcPr>
            <w:tcW w:w="0" w:type="auto"/>
            <w:shd w:val="clear" w:color="auto" w:fill="FFFFFF"/>
            <w:vAlign w:val="center"/>
            <w:hideMark/>
          </w:tcPr>
          <w:p w14:paraId="374F31A7"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2</w:t>
            </w:r>
          </w:p>
        </w:tc>
        <w:tc>
          <w:tcPr>
            <w:tcW w:w="0" w:type="auto"/>
            <w:shd w:val="clear" w:color="auto" w:fill="FFFFFF"/>
            <w:vAlign w:val="center"/>
            <w:hideMark/>
          </w:tcPr>
          <w:p w14:paraId="7430929B"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發言日期</w:t>
            </w:r>
          </w:p>
        </w:tc>
        <w:tc>
          <w:tcPr>
            <w:tcW w:w="0" w:type="auto"/>
            <w:shd w:val="clear" w:color="auto" w:fill="FFFFFF"/>
            <w:vAlign w:val="center"/>
            <w:hideMark/>
          </w:tcPr>
          <w:p w14:paraId="06753455"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109/11/06</w:t>
            </w:r>
          </w:p>
        </w:tc>
        <w:tc>
          <w:tcPr>
            <w:tcW w:w="0" w:type="auto"/>
            <w:shd w:val="clear" w:color="auto" w:fill="FFFFFF"/>
            <w:vAlign w:val="center"/>
            <w:hideMark/>
          </w:tcPr>
          <w:p w14:paraId="59654345"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發言時間</w:t>
            </w:r>
          </w:p>
        </w:tc>
        <w:tc>
          <w:tcPr>
            <w:tcW w:w="3845" w:type="dxa"/>
            <w:shd w:val="clear" w:color="auto" w:fill="FFFFFF"/>
            <w:vAlign w:val="center"/>
            <w:hideMark/>
          </w:tcPr>
          <w:p w14:paraId="1CD29638"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16:06:25</w:t>
            </w:r>
          </w:p>
        </w:tc>
      </w:tr>
      <w:tr w:rsidR="004251B9" w:rsidRPr="004251B9" w14:paraId="245EBA7B" w14:textId="77777777" w:rsidTr="004251B9">
        <w:tc>
          <w:tcPr>
            <w:tcW w:w="0" w:type="auto"/>
            <w:shd w:val="clear" w:color="auto" w:fill="FFFFFF"/>
            <w:vAlign w:val="center"/>
            <w:hideMark/>
          </w:tcPr>
          <w:p w14:paraId="1A188B26"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發言人</w:t>
            </w:r>
          </w:p>
        </w:tc>
        <w:tc>
          <w:tcPr>
            <w:tcW w:w="0" w:type="auto"/>
            <w:shd w:val="clear" w:color="auto" w:fill="FFFFFF"/>
            <w:vAlign w:val="center"/>
            <w:hideMark/>
          </w:tcPr>
          <w:p w14:paraId="3A9EF9DC"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w:t>
            </w:r>
            <w:r w:rsidRPr="004251B9">
              <w:rPr>
                <w:rFonts w:ascii="Georgia" w:eastAsia="新細明體" w:hAnsi="Georgia" w:cs="新細明體"/>
                <w:color w:val="333333"/>
                <w:kern w:val="0"/>
                <w:sz w:val="18"/>
                <w:szCs w:val="18"/>
              </w:rPr>
              <w:t>李映芬</w:t>
            </w:r>
          </w:p>
        </w:tc>
        <w:tc>
          <w:tcPr>
            <w:tcW w:w="0" w:type="auto"/>
            <w:shd w:val="clear" w:color="auto" w:fill="FFFFFF"/>
            <w:vAlign w:val="center"/>
            <w:hideMark/>
          </w:tcPr>
          <w:p w14:paraId="7FE44A94"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發言人職稱</w:t>
            </w:r>
          </w:p>
        </w:tc>
        <w:tc>
          <w:tcPr>
            <w:tcW w:w="0" w:type="auto"/>
            <w:shd w:val="clear" w:color="auto" w:fill="FFFFFF"/>
            <w:vAlign w:val="center"/>
            <w:hideMark/>
          </w:tcPr>
          <w:p w14:paraId="740E11EA"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w:t>
            </w:r>
            <w:r w:rsidRPr="004251B9">
              <w:rPr>
                <w:rFonts w:ascii="Georgia" w:eastAsia="新細明體" w:hAnsi="Georgia" w:cs="新細明體"/>
                <w:color w:val="333333"/>
                <w:kern w:val="0"/>
                <w:sz w:val="18"/>
                <w:szCs w:val="18"/>
              </w:rPr>
              <w:t>管理處副總經理</w:t>
            </w:r>
          </w:p>
        </w:tc>
        <w:tc>
          <w:tcPr>
            <w:tcW w:w="0" w:type="auto"/>
            <w:shd w:val="clear" w:color="auto" w:fill="FFFFFF"/>
            <w:vAlign w:val="center"/>
            <w:hideMark/>
          </w:tcPr>
          <w:p w14:paraId="5AD22B7A"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發言人電話</w:t>
            </w:r>
          </w:p>
        </w:tc>
        <w:tc>
          <w:tcPr>
            <w:tcW w:w="3845" w:type="dxa"/>
            <w:shd w:val="clear" w:color="auto" w:fill="FFFFFF"/>
            <w:vAlign w:val="center"/>
            <w:hideMark/>
          </w:tcPr>
          <w:p w14:paraId="4BDACFB2"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6626-1166#510</w:t>
            </w:r>
          </w:p>
        </w:tc>
      </w:tr>
      <w:tr w:rsidR="004251B9" w:rsidRPr="004251B9" w14:paraId="4D1797D0" w14:textId="77777777" w:rsidTr="004251B9">
        <w:tc>
          <w:tcPr>
            <w:tcW w:w="0" w:type="auto"/>
            <w:shd w:val="clear" w:color="auto" w:fill="FFFFFF"/>
            <w:vAlign w:val="center"/>
            <w:hideMark/>
          </w:tcPr>
          <w:p w14:paraId="6124B9DA"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主旨</w:t>
            </w:r>
          </w:p>
        </w:tc>
        <w:tc>
          <w:tcPr>
            <w:tcW w:w="8465" w:type="dxa"/>
            <w:gridSpan w:val="5"/>
            <w:shd w:val="clear" w:color="auto" w:fill="FFFFFF"/>
            <w:vAlign w:val="center"/>
            <w:hideMark/>
          </w:tcPr>
          <w:p w14:paraId="2926B5C2" w14:textId="1B9BA65B"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公告本公司國內第一次無擔保轉換公司債轉換普通股之發行新股基準日案</w:t>
            </w:r>
          </w:p>
        </w:tc>
      </w:tr>
      <w:tr w:rsidR="004251B9" w:rsidRPr="004251B9" w14:paraId="52F7E2D8" w14:textId="77777777" w:rsidTr="004251B9">
        <w:tc>
          <w:tcPr>
            <w:tcW w:w="0" w:type="auto"/>
            <w:shd w:val="clear" w:color="auto" w:fill="FFFFFF"/>
            <w:vAlign w:val="center"/>
            <w:hideMark/>
          </w:tcPr>
          <w:p w14:paraId="1D27D337"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符合條款</w:t>
            </w:r>
          </w:p>
        </w:tc>
        <w:tc>
          <w:tcPr>
            <w:tcW w:w="0" w:type="auto"/>
            <w:shd w:val="clear" w:color="auto" w:fill="FFFFFF"/>
            <w:vAlign w:val="center"/>
            <w:hideMark/>
          </w:tcPr>
          <w:p w14:paraId="1BDEB7DB"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xml:space="preserve">　第</w:t>
            </w:r>
            <w:r w:rsidRPr="004251B9">
              <w:rPr>
                <w:rFonts w:ascii="Georgia" w:eastAsia="新細明體" w:hAnsi="Georgia" w:cs="新細明體"/>
                <w:color w:val="333333"/>
                <w:kern w:val="0"/>
                <w:sz w:val="18"/>
                <w:szCs w:val="18"/>
              </w:rPr>
              <w:t xml:space="preserve"> 11 </w:t>
            </w:r>
            <w:r w:rsidRPr="004251B9">
              <w:rPr>
                <w:rFonts w:ascii="Georgia" w:eastAsia="新細明體" w:hAnsi="Georgia" w:cs="新細明體"/>
                <w:color w:val="333333"/>
                <w:kern w:val="0"/>
                <w:sz w:val="18"/>
                <w:szCs w:val="18"/>
              </w:rPr>
              <w:t>款</w:t>
            </w:r>
            <w:r w:rsidRPr="004251B9">
              <w:rPr>
                <w:rFonts w:ascii="Georgia" w:eastAsia="新細明體" w:hAnsi="Georgia" w:cs="新細明體"/>
                <w:color w:val="333333"/>
                <w:kern w:val="0"/>
                <w:sz w:val="18"/>
                <w:szCs w:val="18"/>
              </w:rPr>
              <w:t xml:space="preserve"> </w:t>
            </w:r>
          </w:p>
        </w:tc>
        <w:tc>
          <w:tcPr>
            <w:tcW w:w="0" w:type="auto"/>
            <w:shd w:val="clear" w:color="auto" w:fill="FFFFFF"/>
            <w:vAlign w:val="center"/>
            <w:hideMark/>
          </w:tcPr>
          <w:p w14:paraId="4A3FFBFD"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事實發生日</w:t>
            </w:r>
          </w:p>
        </w:tc>
        <w:tc>
          <w:tcPr>
            <w:tcW w:w="6426" w:type="dxa"/>
            <w:gridSpan w:val="3"/>
            <w:shd w:val="clear" w:color="auto" w:fill="FFFFFF"/>
            <w:vAlign w:val="center"/>
            <w:hideMark/>
          </w:tcPr>
          <w:p w14:paraId="13B2F1EE"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 xml:space="preserve"> 109/11/06 </w:t>
            </w:r>
          </w:p>
        </w:tc>
      </w:tr>
      <w:tr w:rsidR="004251B9" w:rsidRPr="004251B9" w14:paraId="2CE0D82A" w14:textId="77777777" w:rsidTr="004251B9">
        <w:tc>
          <w:tcPr>
            <w:tcW w:w="0" w:type="auto"/>
            <w:shd w:val="clear" w:color="auto" w:fill="FFFFFF"/>
            <w:vAlign w:val="center"/>
            <w:hideMark/>
          </w:tcPr>
          <w:p w14:paraId="0AC658D5" w14:textId="77777777" w:rsidR="004251B9" w:rsidRPr="004251B9" w:rsidRDefault="004251B9" w:rsidP="004251B9">
            <w:pPr>
              <w:widowControl/>
              <w:jc w:val="center"/>
              <w:rPr>
                <w:rFonts w:ascii="Georgia" w:eastAsia="新細明體" w:hAnsi="Georgia" w:cs="新細明體"/>
                <w:color w:val="333333"/>
                <w:kern w:val="0"/>
                <w:sz w:val="18"/>
                <w:szCs w:val="18"/>
              </w:rPr>
            </w:pPr>
            <w:r w:rsidRPr="004251B9">
              <w:rPr>
                <w:rFonts w:ascii="Georgia" w:eastAsia="新細明體" w:hAnsi="Georgia" w:cs="新細明體"/>
                <w:color w:val="333333"/>
                <w:kern w:val="0"/>
                <w:sz w:val="18"/>
                <w:szCs w:val="18"/>
              </w:rPr>
              <w:t>說明</w:t>
            </w:r>
          </w:p>
        </w:tc>
        <w:tc>
          <w:tcPr>
            <w:tcW w:w="8465" w:type="dxa"/>
            <w:gridSpan w:val="5"/>
            <w:shd w:val="clear" w:color="auto" w:fill="FFFFFF"/>
            <w:vAlign w:val="center"/>
            <w:hideMark/>
          </w:tcPr>
          <w:p w14:paraId="764A871E"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1.董事會決議日期:109/11/06</w:t>
            </w:r>
          </w:p>
          <w:p w14:paraId="242E7C64"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2.增資資金來源:國內第一次無擔保轉換公司債。</w:t>
            </w:r>
          </w:p>
          <w:p w14:paraId="2666D0C9"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3.發行股數(如屬盈餘或公積轉增資，則不含配發給員工部分):880,247股</w:t>
            </w:r>
          </w:p>
          <w:p w14:paraId="51647B4C"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4.每股面額:10元</w:t>
            </w:r>
          </w:p>
          <w:p w14:paraId="16DAE901"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5.發行總金額:8,802,470元</w:t>
            </w:r>
          </w:p>
          <w:p w14:paraId="67298F65"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6.發行價格:不適用。</w:t>
            </w:r>
          </w:p>
          <w:p w14:paraId="406F1332"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7.員工認購股數或配發金額:不適用。</w:t>
            </w:r>
          </w:p>
          <w:p w14:paraId="00404886"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8.公開銷售股數:不適用。</w:t>
            </w:r>
          </w:p>
          <w:p w14:paraId="3D2AEA9C"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9.原股東認購或無償配發比例(請註明暫定每仟股認購或配發股數):不適用。</w:t>
            </w:r>
          </w:p>
          <w:p w14:paraId="327749C7"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10.</w:t>
            </w:r>
            <w:proofErr w:type="gramStart"/>
            <w:r w:rsidRPr="004251B9">
              <w:rPr>
                <w:rFonts w:ascii="細明體" w:eastAsia="細明體" w:hAnsi="細明體" w:cs="細明體"/>
                <w:color w:val="333333"/>
                <w:kern w:val="0"/>
                <w:szCs w:val="24"/>
              </w:rPr>
              <w:t>畸</w:t>
            </w:r>
            <w:proofErr w:type="gramEnd"/>
            <w:r w:rsidRPr="004251B9">
              <w:rPr>
                <w:rFonts w:ascii="細明體" w:eastAsia="細明體" w:hAnsi="細明體" w:cs="細明體"/>
                <w:color w:val="333333"/>
                <w:kern w:val="0"/>
                <w:szCs w:val="24"/>
              </w:rPr>
              <w:t>零股及逾期未認購股份之處理方式:不適用。</w:t>
            </w:r>
          </w:p>
          <w:p w14:paraId="255616C2"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11.本次發行新股之權利義務:與原普通股相同。</w:t>
            </w:r>
          </w:p>
          <w:p w14:paraId="72B3E48B"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12.本次增資資金用途:不適用。</w:t>
            </w:r>
          </w:p>
          <w:p w14:paraId="7A53A10D"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13.其他應敘明事項:</w:t>
            </w:r>
          </w:p>
          <w:p w14:paraId="1191D785" w14:textId="78CAEAB9"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color w:val="333333"/>
                <w:kern w:val="0"/>
                <w:szCs w:val="24"/>
              </w:rPr>
            </w:pPr>
            <w:r w:rsidRPr="004251B9">
              <w:rPr>
                <w:rFonts w:ascii="細明體" w:eastAsia="細明體" w:hAnsi="細明體" w:cs="細明體"/>
                <w:color w:val="333333"/>
                <w:kern w:val="0"/>
                <w:szCs w:val="24"/>
              </w:rPr>
              <w:t>一、本次國內第一次無擔保轉換公司債轉換新股之增資基準日，訂為民國109年11月09日，並依法令規定辦理相關變更登記事宜。</w:t>
            </w:r>
          </w:p>
          <w:p w14:paraId="2305B441" w14:textId="77777777" w:rsidR="004251B9" w:rsidRPr="004251B9" w:rsidRDefault="004251B9" w:rsidP="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4251B9">
              <w:rPr>
                <w:rFonts w:ascii="細明體" w:eastAsia="細明體" w:hAnsi="細明體" w:cs="細明體"/>
                <w:color w:val="333333"/>
                <w:kern w:val="0"/>
                <w:szCs w:val="24"/>
              </w:rPr>
              <w:t>二、變更後公司實收資本額為新台幣368,862,590元，計36,886,259股。</w:t>
            </w:r>
          </w:p>
        </w:tc>
      </w:tr>
    </w:tbl>
    <w:p w14:paraId="784E164C" w14:textId="77777777" w:rsidR="004251B9" w:rsidRPr="004251B9" w:rsidRDefault="004251B9"/>
    <w:sectPr w:rsidR="004251B9" w:rsidRPr="004251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B9"/>
    <w:rsid w:val="004251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35D"/>
  <w15:chartTrackingRefBased/>
  <w15:docId w15:val="{ED278EA2-022C-4757-9EF1-BCF2659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2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251B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011103">
      <w:bodyDiv w:val="1"/>
      <w:marLeft w:val="0"/>
      <w:marRight w:val="0"/>
      <w:marTop w:val="0"/>
      <w:marBottom w:val="0"/>
      <w:divBdr>
        <w:top w:val="none" w:sz="0" w:space="0" w:color="auto"/>
        <w:left w:val="none" w:sz="0" w:space="0" w:color="auto"/>
        <w:bottom w:val="none" w:sz="0" w:space="0" w:color="auto"/>
        <w:right w:val="none" w:sz="0" w:space="0" w:color="auto"/>
      </w:divBdr>
      <w:divsChild>
        <w:div w:id="1097365942">
          <w:marLeft w:val="0"/>
          <w:marRight w:val="0"/>
          <w:marTop w:val="0"/>
          <w:marBottom w:val="0"/>
          <w:divBdr>
            <w:top w:val="none" w:sz="0" w:space="0" w:color="auto"/>
            <w:left w:val="none" w:sz="0" w:space="0" w:color="auto"/>
            <w:bottom w:val="none" w:sz="0" w:space="0" w:color="auto"/>
            <w:right w:val="none" w:sz="0" w:space="0" w:color="auto"/>
          </w:divBdr>
          <w:divsChild>
            <w:div w:id="408040046">
              <w:marLeft w:val="0"/>
              <w:marRight w:val="0"/>
              <w:marTop w:val="0"/>
              <w:marBottom w:val="0"/>
              <w:divBdr>
                <w:top w:val="none" w:sz="0" w:space="0" w:color="auto"/>
                <w:left w:val="none" w:sz="0" w:space="0" w:color="auto"/>
                <w:bottom w:val="none" w:sz="0" w:space="0" w:color="auto"/>
                <w:right w:val="none" w:sz="0" w:space="0" w:color="auto"/>
              </w:divBdr>
              <w:divsChild>
                <w:div w:id="198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2020-11-06T08:30:00Z</dcterms:created>
  <dcterms:modified xsi:type="dcterms:W3CDTF">2020-11-06T08:31:00Z</dcterms:modified>
</cp:coreProperties>
</file>