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0B14" w14:textId="77777777" w:rsidR="000D60B8" w:rsidRDefault="000D60B8" w:rsidP="000D60B8">
      <w:pPr>
        <w:pStyle w:val="a3"/>
        <w:tabs>
          <w:tab w:val="clear" w:pos="425"/>
          <w:tab w:val="left" w:pos="480"/>
        </w:tabs>
        <w:spacing w:line="320" w:lineRule="exact"/>
        <w:ind w:leftChars="70" w:left="168" w:rightChars="0" w:right="0" w:firstLineChars="0" w:firstLine="0"/>
        <w:rPr>
          <w:rFonts w:ascii="Times New Roman"/>
        </w:rPr>
      </w:pPr>
      <w:r>
        <w:rPr>
          <w:rFonts w:asciiTheme="minorEastAsia" w:hAnsiTheme="minorEastAsia" w:hint="eastAsia"/>
        </w:rPr>
        <w:t>◎</w:t>
      </w:r>
      <w:r>
        <w:rPr>
          <w:rFonts w:ascii="Times New Roman" w:hint="eastAsia"/>
        </w:rPr>
        <w:t>主要股東名單：股權比例達百分之五以上之股東或股權比例占前十名之股</w:t>
      </w:r>
    </w:p>
    <w:p w14:paraId="5CF13AA3" w14:textId="7A9D28D2" w:rsidR="000D60B8" w:rsidRDefault="000D60B8" w:rsidP="000D60B8">
      <w:pPr>
        <w:pStyle w:val="a3"/>
        <w:tabs>
          <w:tab w:val="clear" w:pos="425"/>
          <w:tab w:val="left" w:pos="480"/>
        </w:tabs>
        <w:spacing w:line="320" w:lineRule="exact"/>
        <w:ind w:leftChars="70" w:left="168" w:rightChars="0" w:right="0"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東名稱、持股數額及比例</w:t>
      </w:r>
    </w:p>
    <w:p w14:paraId="1C289989" w14:textId="1C6B006E" w:rsidR="000D60B8" w:rsidRPr="008F6A36" w:rsidRDefault="000D60B8" w:rsidP="000D60B8">
      <w:pPr>
        <w:pStyle w:val="a3"/>
        <w:tabs>
          <w:tab w:val="clear" w:pos="425"/>
        </w:tabs>
        <w:spacing w:line="320" w:lineRule="exact"/>
        <w:ind w:leftChars="200" w:left="960" w:rightChars="0" w:right="0" w:hangingChars="200" w:hanging="480"/>
        <w:rPr>
          <w:rFonts w:ascii="Times New Roman"/>
          <w:bCs/>
        </w:rPr>
      </w:pPr>
      <w:r>
        <w:rPr>
          <w:rFonts w:ascii="Times New Roman" w:hint="eastAsia"/>
        </w:rPr>
        <w:t xml:space="preserve">                                                </w:t>
      </w:r>
      <w:r w:rsidRPr="008F6A36">
        <w:rPr>
          <w:rFonts w:ascii="Times New Roman"/>
        </w:rPr>
        <w:t>113</w:t>
      </w:r>
      <w:r w:rsidRPr="008F6A36">
        <w:rPr>
          <w:rFonts w:ascii="Times New Roman"/>
        </w:rPr>
        <w:t>年</w:t>
      </w:r>
      <w:r w:rsidRPr="008F6A36">
        <w:rPr>
          <w:rFonts w:ascii="Times New Roman"/>
        </w:rPr>
        <w:t>4</w:t>
      </w:r>
      <w:r w:rsidRPr="008F6A36">
        <w:rPr>
          <w:rFonts w:ascii="Times New Roman"/>
        </w:rPr>
        <w:t>月</w:t>
      </w:r>
      <w:r w:rsidRPr="008F6A36">
        <w:rPr>
          <w:rFonts w:ascii="Times New Roman"/>
        </w:rPr>
        <w:t>1</w:t>
      </w:r>
      <w:r w:rsidRPr="008F6A36">
        <w:rPr>
          <w:rFonts w:ascii="Times New Roman"/>
        </w:rPr>
        <w:t>日</w:t>
      </w:r>
    </w:p>
    <w:tbl>
      <w:tblPr>
        <w:tblW w:w="885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2"/>
        <w:gridCol w:w="1856"/>
        <w:gridCol w:w="2126"/>
      </w:tblGrid>
      <w:tr w:rsidR="000D60B8" w:rsidRPr="000D60B8" w14:paraId="10CE8F05" w14:textId="77777777" w:rsidTr="000D60B8">
        <w:tc>
          <w:tcPr>
            <w:tcW w:w="4872" w:type="dxa"/>
            <w:tcBorders>
              <w:tl2br w:val="single" w:sz="6" w:space="0" w:color="000000"/>
            </w:tcBorders>
            <w:vAlign w:val="center"/>
          </w:tcPr>
          <w:p w14:paraId="5C96D08B" w14:textId="77777777" w:rsidR="000D60B8" w:rsidRPr="000D60B8" w:rsidRDefault="000D60B8" w:rsidP="0006193C">
            <w:pPr>
              <w:spacing w:line="320" w:lineRule="exact"/>
              <w:jc w:val="right"/>
              <w:rPr>
                <w:rFonts w:eastAsia="標楷體"/>
                <w:b/>
                <w:bCs/>
              </w:rPr>
            </w:pPr>
            <w:bookmarkStart w:id="0" w:name="_Hlk22567626"/>
            <w:r w:rsidRPr="000D60B8">
              <w:rPr>
                <w:rFonts w:eastAsia="標楷體"/>
                <w:b/>
                <w:bCs/>
              </w:rPr>
              <w:t>股份</w:t>
            </w:r>
          </w:p>
          <w:p w14:paraId="20CB520B" w14:textId="77777777" w:rsidR="000D60B8" w:rsidRPr="000D60B8" w:rsidRDefault="000D60B8" w:rsidP="0006193C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0D60B8">
              <w:rPr>
                <w:rFonts w:eastAsia="標楷體"/>
                <w:b/>
                <w:bCs/>
              </w:rPr>
              <w:t>主要股東名稱</w:t>
            </w:r>
          </w:p>
        </w:tc>
        <w:tc>
          <w:tcPr>
            <w:tcW w:w="1856" w:type="dxa"/>
            <w:tcBorders>
              <w:bottom w:val="single" w:sz="6" w:space="0" w:color="000000"/>
            </w:tcBorders>
            <w:vAlign w:val="center"/>
          </w:tcPr>
          <w:p w14:paraId="331738E7" w14:textId="77777777" w:rsidR="000D60B8" w:rsidRPr="000D60B8" w:rsidRDefault="000D60B8" w:rsidP="0006193C">
            <w:pPr>
              <w:pStyle w:val="a4"/>
              <w:spacing w:line="320" w:lineRule="exact"/>
              <w:rPr>
                <w:rFonts w:eastAsia="標楷體"/>
                <w:b/>
                <w:bCs/>
                <w:szCs w:val="24"/>
              </w:rPr>
            </w:pPr>
            <w:r w:rsidRPr="000D60B8">
              <w:rPr>
                <w:rFonts w:eastAsia="標楷體"/>
                <w:b/>
                <w:bCs/>
                <w:szCs w:val="24"/>
              </w:rPr>
              <w:t>持有股數</w:t>
            </w:r>
          </w:p>
          <w:p w14:paraId="1CEEC5A5" w14:textId="77777777" w:rsidR="000D60B8" w:rsidRPr="000D60B8" w:rsidRDefault="000D60B8" w:rsidP="0006193C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0D60B8">
              <w:rPr>
                <w:rFonts w:eastAsia="標楷體"/>
                <w:b/>
                <w:bCs/>
              </w:rPr>
              <w:t>(</w:t>
            </w:r>
            <w:r w:rsidRPr="000D60B8">
              <w:rPr>
                <w:rFonts w:eastAsia="標楷體"/>
                <w:b/>
                <w:bCs/>
              </w:rPr>
              <w:t>股</w:t>
            </w:r>
            <w:r w:rsidRPr="000D60B8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vAlign w:val="center"/>
          </w:tcPr>
          <w:p w14:paraId="0F21089C" w14:textId="77777777" w:rsidR="000D60B8" w:rsidRPr="000D60B8" w:rsidRDefault="000D60B8" w:rsidP="0006193C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0D60B8">
              <w:rPr>
                <w:rFonts w:eastAsia="標楷體"/>
                <w:b/>
                <w:bCs/>
              </w:rPr>
              <w:t>持股比例</w:t>
            </w:r>
          </w:p>
          <w:p w14:paraId="01540EF5" w14:textId="77777777" w:rsidR="000D60B8" w:rsidRPr="000D60B8" w:rsidRDefault="000D60B8" w:rsidP="0006193C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0D60B8">
              <w:rPr>
                <w:rFonts w:eastAsia="標楷體"/>
                <w:b/>
                <w:bCs/>
              </w:rPr>
              <w:t>(%)</w:t>
            </w:r>
          </w:p>
        </w:tc>
      </w:tr>
      <w:tr w:rsidR="000D60B8" w:rsidRPr="000D60B8" w14:paraId="6899D3DA" w14:textId="77777777" w:rsidTr="000D60B8">
        <w:trPr>
          <w:trHeight w:val="680"/>
        </w:trPr>
        <w:tc>
          <w:tcPr>
            <w:tcW w:w="4872" w:type="dxa"/>
            <w:vAlign w:val="center"/>
          </w:tcPr>
          <w:p w14:paraId="5F516744" w14:textId="77777777" w:rsidR="000D60B8" w:rsidRPr="000D60B8" w:rsidRDefault="000D60B8" w:rsidP="0006193C">
            <w:pPr>
              <w:spacing w:line="32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杏昌投資</w:t>
            </w:r>
            <w:proofErr w:type="gramEnd"/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(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股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)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公</w:t>
            </w:r>
          </w:p>
        </w:tc>
        <w:tc>
          <w:tcPr>
            <w:tcW w:w="1856" w:type="dxa"/>
            <w:vAlign w:val="center"/>
          </w:tcPr>
          <w:p w14:paraId="50F386BD" w14:textId="77777777" w:rsidR="000D60B8" w:rsidRPr="000D60B8" w:rsidRDefault="000D60B8" w:rsidP="0006193C">
            <w:pPr>
              <w:pStyle w:val="a6"/>
              <w:spacing w:before="0" w:after="0" w:line="320" w:lineRule="exact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6,519,991</w:t>
            </w:r>
          </w:p>
        </w:tc>
        <w:tc>
          <w:tcPr>
            <w:tcW w:w="2126" w:type="dxa"/>
            <w:vAlign w:val="center"/>
          </w:tcPr>
          <w:p w14:paraId="2984D987" w14:textId="77777777" w:rsidR="000D60B8" w:rsidRPr="000D60B8" w:rsidRDefault="000D60B8" w:rsidP="0006193C">
            <w:pPr>
              <w:spacing w:line="320" w:lineRule="exact"/>
              <w:ind w:leftChars="-55" w:left="24" w:hangingChars="58" w:hanging="156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spacing w:val="-6"/>
                <w:sz w:val="28"/>
                <w:szCs w:val="28"/>
              </w:rPr>
              <w:t>14.64%</w:t>
            </w:r>
          </w:p>
        </w:tc>
      </w:tr>
      <w:tr w:rsidR="000D60B8" w:rsidRPr="000D60B8" w14:paraId="33A1B798" w14:textId="77777777" w:rsidTr="000D60B8">
        <w:trPr>
          <w:trHeight w:val="680"/>
        </w:trPr>
        <w:tc>
          <w:tcPr>
            <w:tcW w:w="4872" w:type="dxa"/>
            <w:vAlign w:val="center"/>
          </w:tcPr>
          <w:p w14:paraId="70613ACB" w14:textId="77777777" w:rsidR="000D60B8" w:rsidRPr="000D60B8" w:rsidRDefault="000D60B8" w:rsidP="0006193C">
            <w:pPr>
              <w:spacing w:line="32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智新投資</w:t>
            </w:r>
            <w:proofErr w:type="gramEnd"/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56" w:type="dxa"/>
            <w:vAlign w:val="center"/>
          </w:tcPr>
          <w:p w14:paraId="5D196D76" w14:textId="77777777" w:rsidR="000D60B8" w:rsidRPr="000D60B8" w:rsidRDefault="000D60B8" w:rsidP="0006193C">
            <w:pPr>
              <w:pStyle w:val="a6"/>
              <w:spacing w:before="0" w:after="0" w:line="320" w:lineRule="exact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3,531,994</w:t>
            </w:r>
          </w:p>
        </w:tc>
        <w:tc>
          <w:tcPr>
            <w:tcW w:w="2126" w:type="dxa"/>
            <w:vAlign w:val="center"/>
          </w:tcPr>
          <w:p w14:paraId="3389417A" w14:textId="77777777" w:rsidR="000D60B8" w:rsidRPr="000D60B8" w:rsidRDefault="000D60B8" w:rsidP="0006193C">
            <w:pPr>
              <w:spacing w:line="320" w:lineRule="exact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spacing w:val="-6"/>
                <w:sz w:val="28"/>
                <w:szCs w:val="28"/>
              </w:rPr>
              <w:t>7.93%</w:t>
            </w:r>
          </w:p>
        </w:tc>
      </w:tr>
      <w:tr w:rsidR="000D60B8" w:rsidRPr="000D60B8" w14:paraId="0F75E5E8" w14:textId="77777777" w:rsidTr="000D60B8">
        <w:trPr>
          <w:trHeight w:val="680"/>
        </w:trPr>
        <w:tc>
          <w:tcPr>
            <w:tcW w:w="4872" w:type="dxa"/>
            <w:vAlign w:val="center"/>
          </w:tcPr>
          <w:p w14:paraId="5E0D06A0" w14:textId="77777777" w:rsidR="000D60B8" w:rsidRPr="000D60B8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0D60B8">
              <w:rPr>
                <w:rFonts w:eastAsia="標楷體"/>
                <w:b/>
                <w:bCs/>
                <w:sz w:val="28"/>
                <w:szCs w:val="28"/>
              </w:rPr>
              <w:t>高林實業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56" w:type="dxa"/>
            <w:vAlign w:val="center"/>
          </w:tcPr>
          <w:p w14:paraId="34C4221C" w14:textId="77777777" w:rsidR="000D60B8" w:rsidRPr="000D60B8" w:rsidRDefault="000D60B8" w:rsidP="0006193C">
            <w:pPr>
              <w:pStyle w:val="a6"/>
              <w:spacing w:before="0" w:after="0" w:line="320" w:lineRule="exact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2,385,536</w:t>
            </w:r>
          </w:p>
        </w:tc>
        <w:tc>
          <w:tcPr>
            <w:tcW w:w="2126" w:type="dxa"/>
            <w:vAlign w:val="center"/>
          </w:tcPr>
          <w:p w14:paraId="635D5AEB" w14:textId="77777777" w:rsidR="000D60B8" w:rsidRPr="000D60B8" w:rsidRDefault="000D60B8" w:rsidP="0006193C">
            <w:pPr>
              <w:spacing w:line="320" w:lineRule="exact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spacing w:val="-6"/>
                <w:sz w:val="28"/>
                <w:szCs w:val="28"/>
              </w:rPr>
              <w:t>5.35%</w:t>
            </w:r>
          </w:p>
        </w:tc>
      </w:tr>
      <w:tr w:rsidR="000D60B8" w:rsidRPr="000D60B8" w14:paraId="2FA8EBA1" w14:textId="77777777" w:rsidTr="000D60B8">
        <w:trPr>
          <w:trHeight w:val="680"/>
        </w:trPr>
        <w:tc>
          <w:tcPr>
            <w:tcW w:w="4872" w:type="dxa"/>
            <w:vAlign w:val="center"/>
          </w:tcPr>
          <w:p w14:paraId="3300C6CE" w14:textId="77777777" w:rsidR="000D60B8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渣打託管</w:t>
            </w:r>
            <w:proofErr w:type="gramStart"/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富達清教</w:t>
            </w:r>
            <w:proofErr w:type="gramEnd"/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信託：</w:t>
            </w:r>
          </w:p>
          <w:p w14:paraId="3901A469" w14:textId="04135779" w:rsidR="000D60B8" w:rsidRPr="000D60B8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 xml:space="preserve">                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富達低價位股基金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0F0D33A7" w14:textId="77777777" w:rsidR="000D60B8" w:rsidRPr="000D60B8" w:rsidRDefault="000D60B8" w:rsidP="0006193C">
            <w:pPr>
              <w:pStyle w:val="a6"/>
              <w:spacing w:before="0" w:after="0" w:line="320" w:lineRule="exact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1,660,459</w:t>
            </w:r>
          </w:p>
        </w:tc>
        <w:tc>
          <w:tcPr>
            <w:tcW w:w="2126" w:type="dxa"/>
            <w:vAlign w:val="center"/>
          </w:tcPr>
          <w:p w14:paraId="0883498A" w14:textId="77777777" w:rsidR="000D60B8" w:rsidRPr="000D60B8" w:rsidRDefault="000D60B8" w:rsidP="0006193C">
            <w:pPr>
              <w:spacing w:line="320" w:lineRule="exact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spacing w:val="-6"/>
                <w:sz w:val="28"/>
                <w:szCs w:val="28"/>
              </w:rPr>
              <w:t>3.73%</w:t>
            </w:r>
          </w:p>
        </w:tc>
      </w:tr>
      <w:tr w:rsidR="000D60B8" w:rsidRPr="000D60B8" w14:paraId="7B99B5C7" w14:textId="77777777" w:rsidTr="000D60B8">
        <w:trPr>
          <w:trHeight w:val="680"/>
        </w:trPr>
        <w:tc>
          <w:tcPr>
            <w:tcW w:w="4872" w:type="dxa"/>
            <w:vAlign w:val="center"/>
          </w:tcPr>
          <w:p w14:paraId="7E6457AD" w14:textId="77777777" w:rsidR="000D60B8" w:rsidRPr="000D60B8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0D60B8">
              <w:rPr>
                <w:rFonts w:eastAsia="標楷體"/>
                <w:b/>
                <w:bCs/>
                <w:sz w:val="28"/>
                <w:szCs w:val="28"/>
              </w:rPr>
              <w:t>蘭華投資股份有限公司</w:t>
            </w:r>
          </w:p>
        </w:tc>
        <w:tc>
          <w:tcPr>
            <w:tcW w:w="1856" w:type="dxa"/>
            <w:vAlign w:val="center"/>
          </w:tcPr>
          <w:p w14:paraId="6A848008" w14:textId="77777777" w:rsidR="000D60B8" w:rsidRPr="000D60B8" w:rsidRDefault="000D60B8" w:rsidP="0006193C">
            <w:pPr>
              <w:pStyle w:val="a6"/>
              <w:spacing w:before="0" w:after="0" w:line="320" w:lineRule="exact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1,401,948</w:t>
            </w:r>
          </w:p>
        </w:tc>
        <w:tc>
          <w:tcPr>
            <w:tcW w:w="2126" w:type="dxa"/>
            <w:vAlign w:val="center"/>
          </w:tcPr>
          <w:p w14:paraId="78309A3B" w14:textId="77777777" w:rsidR="000D60B8" w:rsidRPr="000D60B8" w:rsidRDefault="000D60B8" w:rsidP="0006193C">
            <w:pPr>
              <w:spacing w:line="320" w:lineRule="exact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3.15%</w:t>
            </w:r>
          </w:p>
        </w:tc>
      </w:tr>
      <w:tr w:rsidR="000D60B8" w:rsidRPr="000D60B8" w14:paraId="4F429B49" w14:textId="77777777" w:rsidTr="000D60B8">
        <w:trPr>
          <w:trHeight w:val="680"/>
        </w:trPr>
        <w:tc>
          <w:tcPr>
            <w:tcW w:w="4872" w:type="dxa"/>
            <w:vAlign w:val="center"/>
          </w:tcPr>
          <w:p w14:paraId="52DF864F" w14:textId="77777777" w:rsidR="000D60B8" w:rsidRPr="000D60B8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江秉勳</w:t>
            </w:r>
          </w:p>
        </w:tc>
        <w:tc>
          <w:tcPr>
            <w:tcW w:w="1856" w:type="dxa"/>
            <w:vAlign w:val="center"/>
          </w:tcPr>
          <w:p w14:paraId="643057A5" w14:textId="77777777" w:rsidR="000D60B8" w:rsidRPr="000D60B8" w:rsidRDefault="000D60B8" w:rsidP="0006193C">
            <w:pPr>
              <w:spacing w:line="320" w:lineRule="exact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1,343,689</w:t>
            </w:r>
          </w:p>
        </w:tc>
        <w:tc>
          <w:tcPr>
            <w:tcW w:w="2126" w:type="dxa"/>
            <w:vAlign w:val="center"/>
          </w:tcPr>
          <w:p w14:paraId="2D9F31B4" w14:textId="77777777" w:rsidR="000D60B8" w:rsidRPr="000D60B8" w:rsidRDefault="000D60B8" w:rsidP="0006193C">
            <w:pPr>
              <w:spacing w:line="320" w:lineRule="exact"/>
              <w:ind w:leftChars="-55" w:left="-132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3.01%</w:t>
            </w:r>
          </w:p>
        </w:tc>
      </w:tr>
      <w:tr w:rsidR="000D60B8" w:rsidRPr="000D60B8" w14:paraId="1B995584" w14:textId="77777777" w:rsidTr="000D60B8">
        <w:trPr>
          <w:trHeight w:val="680"/>
        </w:trPr>
        <w:tc>
          <w:tcPr>
            <w:tcW w:w="4872" w:type="dxa"/>
            <w:vAlign w:val="center"/>
          </w:tcPr>
          <w:p w14:paraId="494C11A4" w14:textId="77777777" w:rsidR="000D60B8" w:rsidRPr="000D60B8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渣打託管富</w:t>
            </w:r>
            <w:proofErr w:type="gramStart"/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達北星</w:t>
            </w:r>
            <w:proofErr w:type="gramEnd"/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基金</w:t>
            </w:r>
          </w:p>
        </w:tc>
        <w:tc>
          <w:tcPr>
            <w:tcW w:w="1856" w:type="dxa"/>
            <w:vAlign w:val="center"/>
          </w:tcPr>
          <w:p w14:paraId="064D9D6B" w14:textId="77777777" w:rsidR="000D60B8" w:rsidRPr="000D60B8" w:rsidRDefault="000D60B8" w:rsidP="0006193C">
            <w:pPr>
              <w:spacing w:line="320" w:lineRule="exact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1,</w:t>
            </w:r>
            <w:r w:rsidRPr="000D60B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268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,</w:t>
            </w:r>
            <w:r w:rsidRPr="000D60B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966</w:t>
            </w:r>
          </w:p>
        </w:tc>
        <w:tc>
          <w:tcPr>
            <w:tcW w:w="2126" w:type="dxa"/>
            <w:vAlign w:val="center"/>
          </w:tcPr>
          <w:p w14:paraId="6A9CC75E" w14:textId="77777777" w:rsidR="000D60B8" w:rsidRPr="000D60B8" w:rsidRDefault="000D60B8" w:rsidP="0006193C">
            <w:pPr>
              <w:spacing w:line="320" w:lineRule="exact"/>
              <w:ind w:leftChars="-55" w:left="-132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2.85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%</w:t>
            </w:r>
          </w:p>
        </w:tc>
      </w:tr>
      <w:tr w:rsidR="000D60B8" w:rsidRPr="000D60B8" w14:paraId="0FB312E0" w14:textId="77777777" w:rsidTr="000D60B8">
        <w:trPr>
          <w:trHeight w:val="680"/>
        </w:trPr>
        <w:tc>
          <w:tcPr>
            <w:tcW w:w="4872" w:type="dxa"/>
            <w:vAlign w:val="center"/>
          </w:tcPr>
          <w:p w14:paraId="64725FCC" w14:textId="77777777" w:rsidR="000D60B8" w:rsidRPr="000D60B8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0D60B8">
              <w:rPr>
                <w:rFonts w:eastAsia="標楷體"/>
                <w:b/>
                <w:bCs/>
                <w:sz w:val="28"/>
                <w:szCs w:val="28"/>
              </w:rPr>
              <w:t>艾立</w:t>
            </w:r>
            <w:proofErr w:type="gramStart"/>
            <w:r w:rsidRPr="000D60B8">
              <w:rPr>
                <w:rFonts w:eastAsia="標楷體"/>
                <w:b/>
                <w:bCs/>
                <w:sz w:val="28"/>
                <w:szCs w:val="28"/>
              </w:rPr>
              <w:t>世</w:t>
            </w:r>
            <w:proofErr w:type="gramEnd"/>
            <w:r w:rsidRPr="000D60B8">
              <w:rPr>
                <w:rFonts w:eastAsia="標楷體"/>
                <w:b/>
                <w:bCs/>
                <w:sz w:val="28"/>
                <w:szCs w:val="28"/>
              </w:rPr>
              <w:t>股份有限公司</w:t>
            </w:r>
          </w:p>
        </w:tc>
        <w:tc>
          <w:tcPr>
            <w:tcW w:w="1856" w:type="dxa"/>
            <w:vAlign w:val="center"/>
          </w:tcPr>
          <w:p w14:paraId="12D213D1" w14:textId="77777777" w:rsidR="000D60B8" w:rsidRPr="000D60B8" w:rsidRDefault="000D60B8" w:rsidP="0006193C">
            <w:pPr>
              <w:spacing w:line="320" w:lineRule="exact"/>
              <w:jc w:val="right"/>
              <w:rPr>
                <w:rFonts w:eastAsia="標楷體"/>
                <w:b/>
                <w:bCs/>
                <w:spacing w:val="-6"/>
                <w:sz w:val="28"/>
                <w:szCs w:val="28"/>
                <w:highlight w:val="yellow"/>
              </w:rPr>
            </w:pPr>
            <w:r w:rsidRPr="000D60B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893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,682</w:t>
            </w:r>
          </w:p>
        </w:tc>
        <w:tc>
          <w:tcPr>
            <w:tcW w:w="2126" w:type="dxa"/>
            <w:vAlign w:val="center"/>
          </w:tcPr>
          <w:p w14:paraId="204EF253" w14:textId="77777777" w:rsidR="000D60B8" w:rsidRPr="000D60B8" w:rsidRDefault="000D60B8" w:rsidP="0006193C">
            <w:pPr>
              <w:spacing w:line="320" w:lineRule="exact"/>
              <w:jc w:val="right"/>
              <w:rPr>
                <w:rFonts w:eastAsia="標楷體"/>
                <w:b/>
                <w:bCs/>
                <w:spacing w:val="-6"/>
                <w:sz w:val="28"/>
                <w:szCs w:val="28"/>
                <w:highlight w:val="yellow"/>
              </w:rPr>
            </w:pPr>
            <w:r w:rsidRPr="000D60B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2.0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0%</w:t>
            </w:r>
          </w:p>
        </w:tc>
      </w:tr>
      <w:tr w:rsidR="000D60B8" w:rsidRPr="000D60B8" w14:paraId="689919F7" w14:textId="77777777" w:rsidTr="000D60B8">
        <w:trPr>
          <w:trHeight w:val="680"/>
        </w:trPr>
        <w:tc>
          <w:tcPr>
            <w:tcW w:w="4872" w:type="dxa"/>
            <w:vAlign w:val="center"/>
          </w:tcPr>
          <w:p w14:paraId="63E7E21B" w14:textId="77777777" w:rsidR="000D60B8" w:rsidRPr="000D60B8" w:rsidRDefault="000D60B8" w:rsidP="0006193C">
            <w:pPr>
              <w:spacing w:line="320" w:lineRule="exac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渣打託管野村富達全球增值股票母基金</w:t>
            </w:r>
          </w:p>
        </w:tc>
        <w:tc>
          <w:tcPr>
            <w:tcW w:w="1856" w:type="dxa"/>
            <w:vAlign w:val="center"/>
          </w:tcPr>
          <w:p w14:paraId="51DA11A1" w14:textId="77777777" w:rsidR="000D60B8" w:rsidRPr="000D60B8" w:rsidRDefault="000D60B8" w:rsidP="0006193C">
            <w:pPr>
              <w:spacing w:line="320" w:lineRule="exact"/>
              <w:jc w:val="right"/>
              <w:rPr>
                <w:rFonts w:eastAsia="標楷體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0D60B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754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,</w:t>
            </w:r>
            <w:r w:rsidRPr="000D60B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732</w:t>
            </w:r>
          </w:p>
        </w:tc>
        <w:tc>
          <w:tcPr>
            <w:tcW w:w="2126" w:type="dxa"/>
            <w:vAlign w:val="center"/>
          </w:tcPr>
          <w:p w14:paraId="35E335F0" w14:textId="77777777" w:rsidR="000D60B8" w:rsidRPr="000D60B8" w:rsidRDefault="000D60B8" w:rsidP="0006193C">
            <w:pPr>
              <w:spacing w:line="320" w:lineRule="exact"/>
              <w:ind w:leftChars="-55" w:left="22" w:hangingChars="55" w:hanging="154"/>
              <w:jc w:val="righ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1.6</w:t>
            </w:r>
            <w:r w:rsidRPr="000D60B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9</w:t>
            </w: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%</w:t>
            </w:r>
          </w:p>
        </w:tc>
      </w:tr>
      <w:tr w:rsidR="000D60B8" w:rsidRPr="000D60B8" w14:paraId="46860487" w14:textId="77777777" w:rsidTr="000D60B8">
        <w:trPr>
          <w:trHeight w:val="680"/>
        </w:trPr>
        <w:tc>
          <w:tcPr>
            <w:tcW w:w="4872" w:type="dxa"/>
            <w:vAlign w:val="center"/>
          </w:tcPr>
          <w:p w14:paraId="54861A81" w14:textId="77777777" w:rsidR="000D60B8" w:rsidRPr="000D60B8" w:rsidRDefault="000D60B8" w:rsidP="0006193C">
            <w:pPr>
              <w:spacing w:line="320" w:lineRule="exact"/>
              <w:rPr>
                <w:rFonts w:eastAsia="標楷體"/>
                <w:b/>
                <w:bCs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陳炳昌</w:t>
            </w:r>
          </w:p>
        </w:tc>
        <w:tc>
          <w:tcPr>
            <w:tcW w:w="1856" w:type="dxa"/>
            <w:vAlign w:val="center"/>
          </w:tcPr>
          <w:p w14:paraId="37B3B7C8" w14:textId="77777777" w:rsidR="000D60B8" w:rsidRPr="000D60B8" w:rsidRDefault="000D60B8" w:rsidP="0006193C">
            <w:pPr>
              <w:spacing w:line="320" w:lineRule="exact"/>
              <w:jc w:val="right"/>
              <w:rPr>
                <w:rFonts w:eastAsia="標楷體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718,443</w:t>
            </w:r>
          </w:p>
        </w:tc>
        <w:tc>
          <w:tcPr>
            <w:tcW w:w="2126" w:type="dxa"/>
            <w:vAlign w:val="center"/>
          </w:tcPr>
          <w:p w14:paraId="049E433C" w14:textId="77777777" w:rsidR="000D60B8" w:rsidRPr="000D60B8" w:rsidRDefault="000D60B8" w:rsidP="0006193C">
            <w:pPr>
              <w:spacing w:line="320" w:lineRule="exact"/>
              <w:ind w:leftChars="-55" w:left="22" w:hangingChars="55" w:hanging="154"/>
              <w:jc w:val="right"/>
              <w:rPr>
                <w:rFonts w:eastAsia="標楷體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0D60B8">
              <w:rPr>
                <w:rFonts w:eastAsia="標楷體"/>
                <w:b/>
                <w:bCs/>
                <w:kern w:val="0"/>
                <w:sz w:val="28"/>
                <w:szCs w:val="28"/>
              </w:rPr>
              <w:t>1.61%</w:t>
            </w:r>
          </w:p>
        </w:tc>
      </w:tr>
      <w:bookmarkEnd w:id="0"/>
    </w:tbl>
    <w:p w14:paraId="6513B300" w14:textId="2D635FF3" w:rsidR="000D60B8" w:rsidRPr="000D60B8" w:rsidRDefault="000D60B8"/>
    <w:sectPr w:rsidR="000D60B8" w:rsidRPr="000D60B8" w:rsidSect="00523158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標楷體"/>
    <w:charset w:val="88"/>
    <w:family w:val="modern"/>
    <w:pitch w:val="default"/>
    <w:sig w:usb0="00000001" w:usb1="08080000" w:usb2="00000010" w:usb3="00000000" w:csb0="00100000" w:csb1="00000000"/>
  </w:font>
  <w:font w:name="華康中黑體">
    <w:altName w:val="新細明體"/>
    <w:charset w:val="88"/>
    <w:family w:val="modern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B8"/>
    <w:rsid w:val="000D60B8"/>
    <w:rsid w:val="0052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BDF4"/>
  <w15:chartTrackingRefBased/>
  <w15:docId w15:val="{DA38E393-8108-4B61-B224-A269EB94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0D60B8"/>
    <w:pPr>
      <w:tabs>
        <w:tab w:val="left" w:pos="425"/>
      </w:tabs>
      <w:snapToGrid w:val="0"/>
      <w:ind w:left="2340" w:rightChars="245" w:right="588" w:hangingChars="975" w:hanging="2340"/>
    </w:pPr>
    <w:rPr>
      <w:rFonts w:ascii="標楷體" w:eastAsia="標楷體" w:hAnsi="Times New Roman" w:cs="Times New Roman"/>
      <w:szCs w:val="24"/>
      <w14:ligatures w14:val="none"/>
    </w:rPr>
  </w:style>
  <w:style w:type="paragraph" w:styleId="a4">
    <w:name w:val="Note Heading"/>
    <w:basedOn w:val="a"/>
    <w:next w:val="a"/>
    <w:link w:val="a5"/>
    <w:uiPriority w:val="99"/>
    <w:rsid w:val="000D60B8"/>
    <w:pPr>
      <w:jc w:val="center"/>
    </w:pPr>
    <w:rPr>
      <w:rFonts w:ascii="Times New Roman" w:eastAsia="全真楷書" w:hAnsi="Times New Roman" w:cs="Times New Roman"/>
      <w:szCs w:val="20"/>
      <w14:ligatures w14:val="none"/>
    </w:rPr>
  </w:style>
  <w:style w:type="character" w:customStyle="1" w:styleId="a5">
    <w:name w:val="註釋標題 字元"/>
    <w:basedOn w:val="a0"/>
    <w:link w:val="a4"/>
    <w:uiPriority w:val="99"/>
    <w:rsid w:val="000D60B8"/>
    <w:rPr>
      <w:rFonts w:ascii="Times New Roman" w:eastAsia="全真楷書" w:hAnsi="Times New Roman" w:cs="Times New Roman"/>
      <w:szCs w:val="20"/>
      <w14:ligatures w14:val="none"/>
    </w:rPr>
  </w:style>
  <w:style w:type="paragraph" w:customStyle="1" w:styleId="a6">
    <w:name w:val="表頭"/>
    <w:basedOn w:val="a"/>
    <w:rsid w:val="000D60B8"/>
    <w:pPr>
      <w:spacing w:before="60" w:after="60" w:line="320" w:lineRule="atLeast"/>
      <w:jc w:val="center"/>
    </w:pPr>
    <w:rPr>
      <w:rFonts w:ascii="Times New Roman" w:eastAsia="華康中黑體" w:hAnsi="Times New Roman" w:cs="Times New Roman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2024-04-26T08:25:00Z</dcterms:created>
  <dcterms:modified xsi:type="dcterms:W3CDTF">2024-04-26T08:29:00Z</dcterms:modified>
</cp:coreProperties>
</file>